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D7" w:rsidRPr="006852EF" w:rsidRDefault="00245A8D" w:rsidP="006852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6852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урока </w:t>
      </w:r>
      <w:r w:rsidR="00AF14D7" w:rsidRPr="006852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открытого урока </w:t>
      </w:r>
      <w:r w:rsidR="006852EF" w:rsidRPr="006852E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физики </w:t>
      </w:r>
    </w:p>
    <w:p w:rsidR="006852EF" w:rsidRPr="00245A8D" w:rsidRDefault="006852EF" w:rsidP="006852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tbl>
      <w:tblPr>
        <w:tblW w:w="11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3467"/>
        <w:gridCol w:w="6044"/>
      </w:tblGrid>
      <w:tr w:rsidR="00245A8D" w:rsidRPr="00245A8D" w:rsidTr="008C6B9A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</w:t>
            </w:r>
          </w:p>
        </w:tc>
        <w:tc>
          <w:tcPr>
            <w:tcW w:w="3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Параметры анализа</w:t>
            </w:r>
          </w:p>
        </w:tc>
        <w:tc>
          <w:tcPr>
            <w:tcW w:w="6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Урок: содержание и выводы</w:t>
            </w:r>
          </w:p>
        </w:tc>
      </w:tr>
      <w:tr w:rsidR="00245A8D" w:rsidRPr="00245A8D" w:rsidTr="00245A8D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1. ОБЩАЯ ИНФОРМАЦИЯ</w:t>
            </w:r>
          </w:p>
        </w:tc>
      </w:tr>
      <w:tr w:rsidR="00245A8D" w:rsidRPr="00245A8D" w:rsidTr="008C6B9A">
        <w:trPr>
          <w:trHeight w:val="28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ФИО учителя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Малиева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Малихат</w:t>
            </w:r>
            <w:proofErr w:type="spellEnd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Рамазановна</w:t>
            </w:r>
            <w:proofErr w:type="spellEnd"/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Дата посещения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C05066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 мая 2021год.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Предмет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Физика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hAnsi="Times New Roman" w:cs="Times New Roman"/>
                <w:b/>
                <w:bCs/>
                <w:color w:val="333333"/>
              </w:rPr>
              <w:t>«Центр тяжести тела. Условия равновесия тел».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C05066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 «б</w:t>
            </w:r>
            <w:r w:rsidR="00245A8D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»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Учащихся по списку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по факту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C05066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22</w:t>
            </w:r>
            <w:bookmarkStart w:id="0" w:name="_GoBack"/>
            <w:bookmarkEnd w:id="0"/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Готовность учащихся к началу урока. Организация класса.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 к уроку готов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Оснащенность урока наглядными пособиями, ТСО, дидактическими и раздаточными материалами, ресурсы учителя и информационные ресурсы ученика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оснащен наглядными пособиями, дидактическим и раздаточным материалом, информационными ресурсами, интерактивной доской.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Наличие технологической карты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Технологическая карта урока имеется в наличии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Соответствие темы урока календарно - тематическому планированию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 соответствует календарно-тематическому планированию</w:t>
            </w:r>
          </w:p>
        </w:tc>
      </w:tr>
      <w:tr w:rsidR="00245A8D" w:rsidRPr="00245A8D" w:rsidTr="00245A8D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2. СТРУКТУРА УРОКА,  ТИП,  ЦЕЛИ и ЗАДАЧИ УРОКА 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(образовательные, развивающие, воспитательные)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Тип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AF14D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 Урок изучения и первичного закрепления новых знани</w:t>
            </w:r>
            <w:proofErr w:type="gramStart"/>
            <w:r w:rsidRPr="00AF14D7">
              <w:rPr>
                <w:color w:val="333333"/>
                <w:sz w:val="22"/>
                <w:szCs w:val="22"/>
              </w:rPr>
              <w:t>й(</w:t>
            </w:r>
            <w:proofErr w:type="gramEnd"/>
            <w:r w:rsidRPr="00AF14D7">
              <w:rPr>
                <w:color w:val="333333"/>
                <w:sz w:val="22"/>
                <w:szCs w:val="22"/>
              </w:rPr>
              <w:t>с элементами исследовательской работы, применением технологии проблемного обучения)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Организационн</w:t>
            </w:r>
            <w:r w:rsidR="00AB43D6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ые формы обучения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 организация деятельности учащихся</w:t>
            </w:r>
            <w:r w:rsidR="00AB43D6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line="242" w:lineRule="atLeas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обучения (фронтальная, групповая, индивидуальная, коллективная) соответствуют решению основной дидактической задачи урока.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Цель урока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AF14D7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Ввести понятие центра тяжести тела. Выяснить нахождение центра тяжести различных твердых тел. Выяснить условия равновесия тел. Изучить виды равновесия.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AB4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Задачи урока.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b/>
                <w:bCs/>
                <w:color w:val="333333"/>
                <w:sz w:val="22"/>
                <w:szCs w:val="22"/>
              </w:rPr>
              <w:t>Образовательные: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1.рассмотреть понятия: «центр тяжести тела», «равновесие тел», «устойчивое равновесие», «неустойчивое равновесие», «безразличное равновесие»;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2.выявить причины устойчивого и неустойчивого равновесия;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3.рассмотреть примеры равновесия в архитектуре, искусстве, спорте и жизни человека;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4.продолжить развитие умений объяснять явления и процессы из повседневной жизни с точки зрения физики на основе полученных знаний.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b/>
                <w:bCs/>
                <w:color w:val="333333"/>
                <w:sz w:val="22"/>
                <w:szCs w:val="22"/>
              </w:rPr>
              <w:t>Развивающие: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1. продолжить развитие любознательности, инициативы и устойчивого интереса учащихся к предмету;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2. высказывая свое мнение, решая проблему совершенствовать речевые умения;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b/>
                <w:bCs/>
                <w:color w:val="333333"/>
                <w:sz w:val="22"/>
                <w:szCs w:val="22"/>
              </w:rPr>
              <w:t>Воспитательные:</w:t>
            </w:r>
          </w:p>
          <w:p w:rsidR="00AB43D6" w:rsidRPr="00AF14D7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 xml:space="preserve">1. в ходе урока содействовать воспитанию у </w:t>
            </w:r>
            <w:proofErr w:type="gramStart"/>
            <w:r w:rsidRPr="00AF14D7">
              <w:rPr>
                <w:color w:val="333333"/>
                <w:sz w:val="22"/>
                <w:szCs w:val="22"/>
              </w:rPr>
              <w:t>обучающихся</w:t>
            </w:r>
            <w:proofErr w:type="gramEnd"/>
            <w:r w:rsidRPr="00AF14D7">
              <w:rPr>
                <w:color w:val="333333"/>
                <w:sz w:val="22"/>
                <w:szCs w:val="22"/>
              </w:rPr>
              <w:t xml:space="preserve"> уверенности в познаваемости окружающего мира;</w:t>
            </w:r>
          </w:p>
          <w:p w:rsidR="00245A8D" w:rsidRPr="00245A8D" w:rsidRDefault="00AB43D6" w:rsidP="00AF14D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 xml:space="preserve">2. работая в парах постоянного состава, решая задачи и обсуждая вопросы, воспитывать коммуникативную культуру </w:t>
            </w:r>
            <w:r w:rsidRPr="00AF14D7">
              <w:rPr>
                <w:color w:val="333333"/>
                <w:sz w:val="22"/>
                <w:szCs w:val="22"/>
              </w:rPr>
              <w:lastRenderedPageBreak/>
              <w:t>школьников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 соответствует основной дидактической задаче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 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AB43D6" w:rsidP="00AB43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AF14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43D6" w:rsidRPr="00AF14D7" w:rsidRDefault="00AB43D6" w:rsidP="00AB43D6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proofErr w:type="spellStart"/>
            <w:r w:rsidRPr="00AF14D7">
              <w:rPr>
                <w:b/>
                <w:bCs/>
                <w:i/>
                <w:iCs/>
                <w:color w:val="333333"/>
                <w:sz w:val="22"/>
                <w:szCs w:val="22"/>
              </w:rPr>
              <w:t>Метапредметные</w:t>
            </w:r>
            <w:proofErr w:type="spellEnd"/>
            <w:r w:rsidRPr="00AF14D7">
              <w:rPr>
                <w:b/>
                <w:bCs/>
                <w:color w:val="333333"/>
                <w:sz w:val="22"/>
                <w:szCs w:val="22"/>
              </w:rPr>
              <w:t>:</w:t>
            </w:r>
            <w:r w:rsidRPr="00AF14D7">
              <w:rPr>
                <w:color w:val="333333"/>
                <w:sz w:val="22"/>
                <w:szCs w:val="22"/>
              </w:rPr>
              <w:t xml:space="preserve"> овладеть регулятивными универсальными учебными действиями на примерах гипотез о нахождении центра тяжести твердого тела и их экспериментальной проверки. </w:t>
            </w:r>
            <w:proofErr w:type="gramStart"/>
            <w:r w:rsidRPr="00AF14D7">
              <w:rPr>
                <w:color w:val="333333"/>
                <w:sz w:val="22"/>
                <w:szCs w:val="22"/>
              </w:rPr>
              <w:t xml:space="preserve">Овладеть навыками самостоятельного приобретения знаний об условиях равновесия тел, постановки целей, оценки результатов; предвидеть возможные результаты действий при рассмотрении опыта 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≪</w:t>
            </w:r>
            <w:r w:rsidRPr="00AF14D7">
              <w:rPr>
                <w:color w:val="333333"/>
                <w:sz w:val="22"/>
                <w:szCs w:val="22"/>
              </w:rPr>
              <w:t>Расположение центра тяжести при устойчивом равновесии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≫</w:t>
            </w:r>
            <w:r w:rsidRPr="00AF14D7">
              <w:rPr>
                <w:color w:val="333333"/>
                <w:sz w:val="22"/>
                <w:szCs w:val="22"/>
              </w:rPr>
              <w:t xml:space="preserve">, 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≪</w:t>
            </w:r>
            <w:r w:rsidRPr="00AF14D7">
              <w:rPr>
                <w:color w:val="333333"/>
                <w:sz w:val="22"/>
                <w:szCs w:val="22"/>
              </w:rPr>
              <w:t>Виды равновесия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≫</w:t>
            </w:r>
            <w:r w:rsidRPr="00AF14D7">
              <w:rPr>
                <w:color w:val="333333"/>
                <w:sz w:val="22"/>
                <w:szCs w:val="22"/>
              </w:rPr>
              <w:t>; овладеть регулятивными универсальными учебными действиями при решении качественных задач на виды равновесия, развивать монологическую и диалогическую речь, выражать свои мысли; выделять основное содержание прочитанного текста.</w:t>
            </w:r>
            <w:proofErr w:type="gramEnd"/>
          </w:p>
          <w:p w:rsidR="00AB43D6" w:rsidRPr="00AF14D7" w:rsidRDefault="00AB43D6" w:rsidP="00AB43D6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b/>
                <w:bCs/>
                <w:i/>
                <w:iCs/>
                <w:color w:val="333333"/>
                <w:sz w:val="22"/>
                <w:szCs w:val="22"/>
              </w:rPr>
              <w:t>Личностные</w:t>
            </w:r>
            <w:r w:rsidRPr="00AF14D7">
              <w:rPr>
                <w:b/>
                <w:bCs/>
                <w:color w:val="333333"/>
                <w:sz w:val="22"/>
                <w:szCs w:val="22"/>
              </w:rPr>
              <w:t>:</w:t>
            </w:r>
            <w:r w:rsidRPr="00AF14D7">
              <w:rPr>
                <w:color w:val="333333"/>
                <w:sz w:val="22"/>
                <w:szCs w:val="22"/>
              </w:rPr>
              <w:t> сформировать познавательный интерес, творческие способности и практические умения, самостоятельность в приобретении знаний о центре тяжести тела, об условии равновесия тел и видах равновесия; развивать ценностное отношение друг к другу, к учителю, к результатам обучения; научиться использовать экспериментальный метод исследования при нахождении центра тяжести тела, при исследовании условий равновесия тел, принимать решения и обосновывать их, самостоятельно оценивать результаты своих действий, развивать инициативу.</w:t>
            </w:r>
          </w:p>
          <w:p w:rsidR="00AB43D6" w:rsidRPr="00AF14D7" w:rsidRDefault="00AB43D6" w:rsidP="00AB43D6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b/>
                <w:bCs/>
                <w:i/>
                <w:iCs/>
                <w:color w:val="333333"/>
                <w:sz w:val="22"/>
                <w:szCs w:val="22"/>
              </w:rPr>
              <w:t>Общие предметные</w:t>
            </w:r>
            <w:r w:rsidRPr="00AF14D7">
              <w:rPr>
                <w:b/>
                <w:bCs/>
                <w:color w:val="333333"/>
                <w:sz w:val="22"/>
                <w:szCs w:val="22"/>
              </w:rPr>
              <w:t>:</w:t>
            </w:r>
            <w:r w:rsidRPr="00AF14D7">
              <w:rPr>
                <w:color w:val="333333"/>
                <w:sz w:val="22"/>
                <w:szCs w:val="22"/>
              </w:rPr>
              <w:t xml:space="preserve"> использовать эмпирический метод познания при изучении и проведении опытов 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≪</w:t>
            </w:r>
            <w:r w:rsidRPr="00AF14D7">
              <w:rPr>
                <w:color w:val="333333"/>
                <w:sz w:val="22"/>
                <w:szCs w:val="22"/>
              </w:rPr>
              <w:t>Направление силы тяжести тела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≫</w:t>
            </w:r>
            <w:r w:rsidRPr="00AF14D7">
              <w:rPr>
                <w:color w:val="333333"/>
                <w:sz w:val="22"/>
                <w:szCs w:val="22"/>
              </w:rPr>
              <w:t xml:space="preserve">, 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≪</w:t>
            </w:r>
            <w:r w:rsidRPr="00AF14D7">
              <w:rPr>
                <w:color w:val="333333"/>
                <w:sz w:val="22"/>
                <w:szCs w:val="22"/>
              </w:rPr>
              <w:t>Нахождение центра тяжести тела</w:t>
            </w:r>
            <w:r w:rsidRPr="00AF14D7">
              <w:rPr>
                <w:rFonts w:ascii="Cambria Math" w:hAnsi="Cambria Math" w:cs="Cambria Math"/>
                <w:color w:val="333333"/>
                <w:sz w:val="22"/>
                <w:szCs w:val="22"/>
              </w:rPr>
              <w:t>≫</w:t>
            </w:r>
            <w:r w:rsidRPr="00AF14D7">
              <w:rPr>
                <w:color w:val="333333"/>
                <w:sz w:val="22"/>
                <w:szCs w:val="22"/>
              </w:rPr>
              <w:t>; объяснять полученные результаты и делать выводы, применять полученные знания для объяснения действий приборов и явлений; докладывать о результатах исследования, кратко и четко отвечать на вопросы по закреплению материала.</w:t>
            </w:r>
          </w:p>
          <w:p w:rsidR="00245A8D" w:rsidRPr="00245A8D" w:rsidRDefault="00AB43D6" w:rsidP="006852EF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333333"/>
                <w:sz w:val="22"/>
                <w:szCs w:val="22"/>
              </w:rPr>
            </w:pPr>
            <w:r w:rsidRPr="00AF14D7">
              <w:rPr>
                <w:color w:val="333333"/>
                <w:sz w:val="22"/>
                <w:szCs w:val="22"/>
              </w:rPr>
              <w:t>Пользоваться методами научного познания, проводить наблюдения, обнаруживать зависимость между устойчивостью тела и расположением центра тяжести, объяснять полученные результаты и делать выводы; применять знания об</w:t>
            </w:r>
            <w:r w:rsidR="008C6B9A" w:rsidRPr="00AF14D7">
              <w:rPr>
                <w:color w:val="333333"/>
                <w:sz w:val="22"/>
                <w:szCs w:val="22"/>
              </w:rPr>
              <w:t xml:space="preserve"> </w:t>
            </w:r>
            <w:r w:rsidRPr="00AF14D7">
              <w:rPr>
                <w:color w:val="333333"/>
                <w:sz w:val="22"/>
                <w:szCs w:val="22"/>
              </w:rPr>
              <w:t>условиях устойчивости тела при решении задач и на практике, кратко и четко отвечать на вопросы по закреплению материала.</w:t>
            </w:r>
          </w:p>
        </w:tc>
      </w:tr>
      <w:tr w:rsidR="00245A8D" w:rsidRPr="00245A8D" w:rsidTr="00245A8D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3. ПСИХОЛОГИЧЕСКИЕ ТРЕБОВАНИЯ К УРОКУ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Планирование урока в соответствии с индивидуальными и возрастными особенностями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соответствует возрастным особенностям учащихся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Определение объема воспроизводящей и творческой деятельности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Объём работы на уроке выполнен большой. Творческая деятельность учащихся на уроке представлена в полном объёме.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Сочетание усвоений знаний в готовом виде и в процессе самостоятельного поиска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течение всего урока, в процессе самостоятельного поиска, ребята выделяли необходимую информацию, структурировали знания.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Учет контроля, анализа оценки деятельности школьников, осуществляемых учителем, и взаимной критической оценки, самоконтроля и самоанализа.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Формировались навыки самоконтроля и самооценки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Соотношение нагрузки на память и мышление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Учитель учитывал уровень актуального развития учащихся и зоны их ближайшего развития. Реализовалась развивающая функция обучения, что способствовало развитию таких качеств как восприятие, логика,</w:t>
            </w:r>
            <w:r w:rsidR="008C6B9A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внимание, воображение, память, мышление, речь.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Использованные учителем приемы для активизации мыслительной работы учащихся.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использовал различные приёмы для активизации мыслительной деятельности учащихся.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Использовался наглядный материал: в качестве иллюстрирования, для эмоциональной поддержки, для решения обучающих задач. Наглядный материал  достаточен, уместен.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Дифференцированный и индивидуальный подход к учащимся, сочетание его с коллективной работой в классе.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уроке реализовалось дифференцированное обучение, имелись задания для детей разного уровня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Учет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обученности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, обучаемости, учебных и воспитательных возможностей учащихся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владеет комплексным подходом в изучении личности школьника, учебной ситуацией.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Выполнение санитарных норм: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Предупреждение утомления и переутомления.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Чередование видов деятельности (слушание, счет, письмо, практика).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Своевременное и качественное проведение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физминуток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Соблюдение правильной рабочей позы.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Санитарные нормы на уроке соблюдались.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Температурный режим соответствовал норме, проветривание класса проходило на перемене, на уроке чередовались виды деятельности, динамические пауз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ы(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физкультурные минутки) имели место и проводились своевременно, учитель следил за правильной посадкой учащихся за партой.</w:t>
            </w:r>
          </w:p>
        </w:tc>
      </w:tr>
      <w:tr w:rsidR="00245A8D" w:rsidRPr="00245A8D" w:rsidTr="00245A8D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Раздел 4. ТРЕБОВАНИЯ К ПРОВЕДЕНИЮ УРОКА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Эмоциональность урока. Соотношение 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рационального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и эмоционального в работе с детьми.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Время на уроке использовалось рационально.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Урок вызывает интерес, воспитывает познавательную потребность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прошёл живо и интересно, воспитывал познавательную потребность к знаниям.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Темп и ритм образовательного процесса (должны быть оптимальными, действия должны быть завершенными)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 урока оптимален, все этапы урока имели завершённый вид.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Доминирование атмосферы доброжелательности и активного творческого труда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Атмосфера урока доброжелательная, творческая.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Смена видов деятельности учащихся, сочетание различных методов и приемов обучения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применял различные приёмы обучения, виды деятельности, методы обучения.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протяжении всего урока прослеживалась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</w:t>
            </w:r>
            <w:r w:rsidR="008C6B9A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едметная</w:t>
            </w:r>
            <w:proofErr w:type="spellEnd"/>
            <w:r w:rsidR="008C6B9A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литерату</w:t>
            </w:r>
            <w:r w:rsidR="008C6B9A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рой, математикой.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Обеспечение активного учения каждого школьника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обеспечил активное участие каждого школьника в учебном процессе.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Педагогическое поведение учителя на уроке. Самообладание и педагогический такт, стиль его поведения, взаимоотношения с учащимися.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Учителем в полной мере соблюдались нормы педагогической этики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Умение организовать класс на учебную деятельность и поддержание дисциплины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Дисциплина на уроке отличная, учитель умело организовывает класс на учебную деятельность.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Владение голосом, правильность речи, дикции, темп, выразительность, жестикуляция. Использование артистических умений, педагогической техники и исполнительского мастерства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Речь, дикция учителя соответствует нормам. Учитель умело пользуется голосом.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11.                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Рациональное использование средств обучения (учебников, пособий, технических средств)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8C6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 уроке использовались: учебники, дополнительная информация, интерактивная доск</w:t>
            </w:r>
            <w:proofErr w:type="gram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а(</w:t>
            </w:r>
            <w:proofErr w:type="gram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в течение всего урока)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12.                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Результаты урока: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ориентир на самооценку обучающегося, формирование адекватной самооценки;– подведение итога урока;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выполнение намеченного плана урока;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достижение образовательных, развивающих и воспитательных целей урока;</w:t>
            </w:r>
          </w:p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– качество знаний, умений, навыков учащихся – достижение планируемых результатов (предметных, личностных,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Намеченный план урока выполнен полностью. Качество знаний достигло планируемых результатов.</w:t>
            </w:r>
          </w:p>
        </w:tc>
      </w:tr>
      <w:tr w:rsidR="00245A8D" w:rsidRPr="00245A8D" w:rsidTr="00245A8D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24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Раздел 5. ВЫВОДЫ и РЕКОМЕНДАЦИИ</w:t>
            </w:r>
          </w:p>
        </w:tc>
      </w:tr>
      <w:tr w:rsidR="00245A8D" w:rsidRPr="00245A8D" w:rsidTr="008C6B9A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Анализ урока и его результативности</w:t>
            </w:r>
          </w:p>
          <w:p w:rsidR="00245A8D" w:rsidRPr="00245A8D" w:rsidRDefault="00245A8D" w:rsidP="00AF1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  <w:r w:rsidR="00AF14D7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х</w:t>
            </w:r>
            <w:r w:rsidR="008C6B9A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оде выполнения заданий проверяло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сь усвоение материала, на основе которого шло его дальнейшее осмысление. Поэтому задания, которые предлагались детям, быстро сменяли друг друга, яркие, красочные, запоминающиеся. На уроке были использованы </w:t>
            </w:r>
            <w:proofErr w:type="spellStart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межпредметные</w:t>
            </w:r>
            <w:proofErr w:type="spellEnd"/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связи с литературой, исто</w:t>
            </w:r>
            <w:r w:rsidR="00AF14D7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рией, математикой.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При подготовке к уроку  были учтены возрастные и индивидуальные особенности учащихся. Также учитывалось развитое воображение, стремление к самостоятельному высказыванию, достаточно высокая мотивация.</w:t>
            </w:r>
          </w:p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  <w:r w:rsid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 Выбранные  методы, которые присутствовали на всех этапах урока: частично – поисковый, проблемной ситуации, </w:t>
            </w:r>
            <w:r w:rsidR="00AF14D7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репродуктивный, объяснительно-</w:t>
            </w: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иллюстративный,  соответствовали задачам урока, содержанию учебного материала и помогали ребятам самостоятельно разрешать поставленные перед ними проблемы. Все дети работали активно, легко шли на контакт, откликались на требования учителя, принимали участие в работе.</w:t>
            </w:r>
          </w:p>
          <w:p w:rsidR="00245A8D" w:rsidRPr="00245A8D" w:rsidRDefault="00AF14D7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Основными формами работы на уроке были фронтальная, индивидуальная, работа в парах, группах. Были использованы все виды обратной связи. Тип информационного потока в ходе урока был открытым при фронтальной работе и закрытым, когда шла индивидуальная работа и работа в парах. Присутствовал тип знаний репродуктивных и выводных. Урок носил личностно – ориентированный характер, и его образовательная практика носила познавательный, эмоционально – ценностный, </w:t>
            </w:r>
            <w:proofErr w:type="spellStart"/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самореализующий</w:t>
            </w:r>
            <w:proofErr w:type="spellEnd"/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ориентированный на развитие творческих, логических  способностей учащихся, воспитывающий нравственно.</w:t>
            </w:r>
          </w:p>
          <w:p w:rsidR="00245A8D" w:rsidRPr="00245A8D" w:rsidRDefault="00AF14D7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</w:t>
            </w:r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 Поставленные задачи были выполнены, реальный результат совпал </w:t>
            </w:r>
            <w:proofErr w:type="gramStart"/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</w:t>
            </w:r>
            <w:proofErr w:type="gramEnd"/>
            <w:r w:rsidR="00245A8D"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прогнозируемым.  В конце урока был получен продукт.</w:t>
            </w:r>
          </w:p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 Цели урок достиг.  Урок соотве</w:t>
            </w:r>
            <w:r w:rsidR="00AF14D7" w:rsidRPr="00AF14D7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тствует всем требованиям ФГОС.</w:t>
            </w: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  <w:p w:rsidR="00245A8D" w:rsidRPr="00245A8D" w:rsidRDefault="00245A8D" w:rsidP="00AF1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245A8D"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245A8D" w:rsidRPr="00245A8D" w:rsidRDefault="00245A8D" w:rsidP="00AF14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5A8D" w:rsidRPr="00245A8D" w:rsidRDefault="00245A8D" w:rsidP="006852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 </w:t>
      </w:r>
    </w:p>
    <w:p w:rsidR="00AF14D7" w:rsidRDefault="00AF14D7" w:rsidP="00AF14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245A8D" w:rsidRPr="00245A8D" w:rsidRDefault="00AF14D7" w:rsidP="006852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Директор МБОУ СОШ №2                               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Дедегкаева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З.В.</w:t>
      </w:r>
      <w:r w:rsidR="00245A8D" w:rsidRPr="00245A8D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sectPr w:rsidR="00245A8D" w:rsidRPr="00245A8D" w:rsidSect="006852EF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E6"/>
    <w:rsid w:val="00245A8D"/>
    <w:rsid w:val="006852EF"/>
    <w:rsid w:val="00842F4F"/>
    <w:rsid w:val="00846AE6"/>
    <w:rsid w:val="008C6B9A"/>
    <w:rsid w:val="00AB43D6"/>
    <w:rsid w:val="00AF14D7"/>
    <w:rsid w:val="00C0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2022-05-05T18:17:00Z</dcterms:created>
  <dcterms:modified xsi:type="dcterms:W3CDTF">2022-05-16T16:06:00Z</dcterms:modified>
</cp:coreProperties>
</file>